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FCA15" w14:textId="1B617915" w:rsidR="002F356B" w:rsidRPr="002F356B" w:rsidRDefault="002F356B" w:rsidP="002F356B">
      <w:pPr>
        <w:shd w:val="clear" w:color="auto" w:fill="FFFFFF"/>
        <w:spacing w:before="100" w:beforeAutospacing="1" w:after="100" w:afterAutospacing="1" w:line="240" w:lineRule="auto"/>
        <w:outlineLvl w:val="0"/>
        <w:rPr>
          <w:rFonts w:ascii="72" w:eastAsia="Times New Roman" w:hAnsi="72" w:cs="72"/>
          <w:b/>
          <w:bCs/>
          <w:color w:val="000000"/>
          <w:kern w:val="36"/>
          <w:sz w:val="48"/>
          <w:szCs w:val="48"/>
          <w:lang w:eastAsia="en-GB"/>
          <w14:ligatures w14:val="none"/>
        </w:rPr>
      </w:pPr>
      <w:r w:rsidRPr="002F356B">
        <w:rPr>
          <w:rFonts w:ascii="72" w:eastAsia="Times New Roman" w:hAnsi="72" w:cs="72"/>
          <w:b/>
          <w:bCs/>
          <w:color w:val="000000"/>
          <w:kern w:val="36"/>
          <w:sz w:val="48"/>
          <w:szCs w:val="48"/>
          <w:lang w:eastAsia="en-GB"/>
          <w14:ligatures w14:val="none"/>
        </w:rPr>
        <w:t>Job Title: 2024 Commercial Apprenticeship Programme</w:t>
      </w:r>
      <w:bookmarkStart w:id="0" w:name="_GoBack"/>
      <w:bookmarkEnd w:id="0"/>
      <w:r w:rsidRPr="002F356B">
        <w:rPr>
          <w:rFonts w:ascii="72" w:eastAsia="Times New Roman" w:hAnsi="72" w:cs="72"/>
          <w:color w:val="000000"/>
          <w:kern w:val="0"/>
          <w:sz w:val="24"/>
          <w:szCs w:val="24"/>
          <w:lang w:eastAsia="en-GB"/>
          <w14:ligatures w14:val="none"/>
        </w:rPr>
        <w:t> </w:t>
      </w:r>
    </w:p>
    <w:p w14:paraId="28187C5E"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4E67FBD6"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b/>
          <w:bCs/>
          <w:color w:val="000000"/>
          <w:kern w:val="0"/>
          <w:sz w:val="18"/>
          <w:szCs w:val="18"/>
          <w:lang w:eastAsia="en-GB"/>
          <w14:ligatures w14:val="none"/>
        </w:rPr>
        <w:t>*Starting salary for the role is £21,528 per annum with fantastic progression and incremental roll off salary.</w:t>
      </w:r>
    </w:p>
    <w:p w14:paraId="06352AD8"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40B95BBD"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b/>
          <w:bCs/>
          <w:color w:val="000000"/>
          <w:kern w:val="0"/>
          <w:sz w:val="18"/>
          <w:szCs w:val="18"/>
          <w:lang w:eastAsia="en-GB"/>
          <w14:ligatures w14:val="none"/>
        </w:rPr>
        <w:t>* Currently TUI is unable to provide visa sponsorship, you must have permanent right to live and work in the UK without sponsorship to be eligible to apply. This includes applicants in possession of a Tier 4 Student visa.</w:t>
      </w:r>
    </w:p>
    <w:p w14:paraId="22012F23"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br/>
      </w:r>
      <w:r w:rsidRPr="002F356B">
        <w:rPr>
          <w:rFonts w:ascii="Arial" w:eastAsia="Times New Roman" w:hAnsi="Arial" w:cs="Arial"/>
          <w:b/>
          <w:bCs/>
          <w:color w:val="1D2D3E"/>
          <w:kern w:val="0"/>
          <w:sz w:val="18"/>
          <w:szCs w:val="18"/>
          <w:lang w:eastAsia="en-GB"/>
          <w14:ligatures w14:val="none"/>
        </w:rPr>
        <w:t>*** As part of our Diversity Equity and Inclusion policy we encourage applications from all sectors of the community – please see below for further details. ***</w:t>
      </w:r>
    </w:p>
    <w:p w14:paraId="227A2483"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42D7846A"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60FFB3A4"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Want to get your career off to a flying start? The sky’s the limit with TUI.  We’re the world's number one tourism business, operating in around 180 destinations worldwide, which means limitless global opportunities for you and your future.</w:t>
      </w:r>
    </w:p>
    <w:p w14:paraId="4C9B9250"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0748EAF2"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As an apprentice in our Commercial team, you’ll spend two invaluable years working right at the heart of our business – with real responsibilities, and the chance to work on real projects.  You’ll gain a unique insight into our exciting and dynamic industry, with exposure to many other functional areas and senior colleagues, as well as the opportunity to enhance your professional skills through an extensive and tailored programme of learning and development.  You’ll have lots of fun during your time with us, and we’ll ensure you get the support you need every step of the way.</w:t>
      </w:r>
    </w:p>
    <w:p w14:paraId="1369FE43"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644C1A98"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Our Commercial Apprenticeship programme is a unique and exciting opportunity to gain a Level 3 Business Administrator qualification whilst developing a rewarding career in our commercial team. It involves two years of study while being paid in a full time permanent commercial role.</w:t>
      </w:r>
    </w:p>
    <w:p w14:paraId="56A51348"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15E197BC"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And, when you join our Commercial Apprenticeship Programme, you’ll be joining TUI as a permanent colleague – moving into a role with one of the teams you’ve worked with during the programme once you’ve finished your rotations.</w:t>
      </w:r>
    </w:p>
    <w:p w14:paraId="0A86D454"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718C4380"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b/>
          <w:bCs/>
          <w:color w:val="000000"/>
          <w:kern w:val="0"/>
          <w:sz w:val="18"/>
          <w:szCs w:val="18"/>
          <w:lang w:eastAsia="en-GB"/>
          <w14:ligatures w14:val="none"/>
        </w:rPr>
        <w:t>ABOUT THE JOB</w:t>
      </w:r>
    </w:p>
    <w:p w14:paraId="2D066D0D"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6A9266C2"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The time that our customers spend away on our holidays is precious.  That’s why we need to understand what our customers want as well as how the world is changing so we can design, develop and deliver dream holidays.  Our Commercial team do just this, sustainably delivering growth and profitability through cleverly managing price, focusing on cost and controlling the availability of our products.  From liaising with hotel buyers, to forecasting travel trends, developing holiday brochures, and pricing holidays – it’s all in a day’s work in this area at the heart of our business.</w:t>
      </w:r>
    </w:p>
    <w:p w14:paraId="0D7D14EB"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12983931"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As a Commercial Apprentice, you’ll gain unrivalled insight into how we go about planning, pricing and selling our TUI and First Choice holiday experiences.  You’ll spend two years rotating between three of our core commercial departments:</w:t>
      </w:r>
    </w:p>
    <w:p w14:paraId="74D6BAA7"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6CC39F29" w14:textId="77777777" w:rsidR="002F356B" w:rsidRPr="002F356B" w:rsidRDefault="002F356B" w:rsidP="002F356B">
      <w:pPr>
        <w:numPr>
          <w:ilvl w:val="0"/>
          <w:numId w:val="1"/>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b/>
          <w:bCs/>
          <w:color w:val="000000"/>
          <w:kern w:val="0"/>
          <w:sz w:val="18"/>
          <w:szCs w:val="18"/>
          <w:lang w:eastAsia="en-GB"/>
          <w14:ligatures w14:val="none"/>
        </w:rPr>
        <w:t>Trading</w:t>
      </w:r>
      <w:r w:rsidRPr="002F356B">
        <w:rPr>
          <w:rFonts w:ascii="Arial" w:eastAsia="Times New Roman" w:hAnsi="Arial" w:cs="Arial"/>
          <w:color w:val="000000"/>
          <w:kern w:val="0"/>
          <w:sz w:val="18"/>
          <w:szCs w:val="18"/>
          <w:lang w:eastAsia="en-GB"/>
          <w14:ligatures w14:val="none"/>
        </w:rPr>
        <w:t> – this team ensures our products are available to our customers at the right price, at the right time, in line with demand and competition. You’ll learn about how we sell our flights and hotels at the right price in order to hit our key targets, as well as how we monitor our competitor’s activity.</w:t>
      </w:r>
    </w:p>
    <w:p w14:paraId="27BDE9E6"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3BC2D5BA" w14:textId="77777777" w:rsidR="002F356B" w:rsidRPr="002F356B" w:rsidRDefault="002F356B" w:rsidP="002F356B">
      <w:pPr>
        <w:numPr>
          <w:ilvl w:val="0"/>
          <w:numId w:val="2"/>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b/>
          <w:bCs/>
          <w:color w:val="000000"/>
          <w:kern w:val="0"/>
          <w:sz w:val="18"/>
          <w:szCs w:val="18"/>
          <w:lang w:eastAsia="en-GB"/>
          <w14:ligatures w14:val="none"/>
        </w:rPr>
        <w:t>Product Planning</w:t>
      </w:r>
      <w:r w:rsidRPr="002F356B">
        <w:rPr>
          <w:rFonts w:ascii="Arial" w:eastAsia="Times New Roman" w:hAnsi="Arial" w:cs="Arial"/>
          <w:color w:val="000000"/>
          <w:kern w:val="0"/>
          <w:sz w:val="18"/>
          <w:szCs w:val="18"/>
          <w:lang w:eastAsia="en-GB"/>
          <w14:ligatures w14:val="none"/>
        </w:rPr>
        <w:t> – this team ensures we have the right products on offer to give our customers the widest variety of holidays to choose from. You’ll learn about how we select which new holiday concepts and hotels to offer our customers, as well as how we price them and present them to our customers, from the content on our websites, to brochures in our retail stores</w:t>
      </w:r>
    </w:p>
    <w:p w14:paraId="3C8E0AC0"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303F3AD9" w14:textId="77777777" w:rsidR="002F356B" w:rsidRPr="002F356B" w:rsidRDefault="002F356B" w:rsidP="002F356B">
      <w:pPr>
        <w:numPr>
          <w:ilvl w:val="0"/>
          <w:numId w:val="3"/>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b/>
          <w:bCs/>
          <w:color w:val="000000"/>
          <w:kern w:val="0"/>
          <w:sz w:val="18"/>
          <w:szCs w:val="18"/>
          <w:lang w:eastAsia="en-GB"/>
          <w14:ligatures w14:val="none"/>
        </w:rPr>
        <w:lastRenderedPageBreak/>
        <w:t>Aviation Planning</w:t>
      </w:r>
      <w:r w:rsidRPr="002F356B">
        <w:rPr>
          <w:rFonts w:ascii="Arial" w:eastAsia="Times New Roman" w:hAnsi="Arial" w:cs="Arial"/>
          <w:color w:val="000000"/>
          <w:kern w:val="0"/>
          <w:sz w:val="18"/>
          <w:szCs w:val="18"/>
          <w:lang w:eastAsia="en-GB"/>
          <w14:ligatures w14:val="none"/>
        </w:rPr>
        <w:t> – this team ensures we have the right planes in the right place, at the right time. You’ll learn about how we manage and plan our flying programme, and will work within the Aviation Support team loading our flying into our systems, managing seasonal changes, and then communicating these to our suppliers and customers</w:t>
      </w:r>
    </w:p>
    <w:p w14:paraId="04C15B2C"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08D34D47"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Whichever teams you join, you’ll have a fantastic opportunity to gain a full insight into our Commercial function and how our business works on a day-to-day basis.  You’ll support a portfolio of destinations, making important commercial decisions which will help drive forward the strategy and profitability of TUI UK.</w:t>
      </w:r>
    </w:p>
    <w:p w14:paraId="2D48494D"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4930E4C4"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You will also be working towards a Level 3 Business Administrator apprenticeship. If you’d like to know more about the content covered as part of the apprenticeship, you can do so by clicking </w:t>
      </w:r>
      <w:hyperlink r:id="rId5" w:history="1">
        <w:r w:rsidRPr="002F356B">
          <w:rPr>
            <w:rFonts w:ascii="Arial" w:eastAsia="Times New Roman" w:hAnsi="Arial" w:cs="Arial"/>
            <w:color w:val="0000FF"/>
            <w:kern w:val="0"/>
            <w:sz w:val="18"/>
            <w:szCs w:val="18"/>
            <w:u w:val="single"/>
            <w:lang w:eastAsia="en-GB"/>
            <w14:ligatures w14:val="none"/>
          </w:rPr>
          <w:t>here</w:t>
        </w:r>
      </w:hyperlink>
      <w:r w:rsidRPr="002F356B">
        <w:rPr>
          <w:rFonts w:ascii="Arial" w:eastAsia="Times New Roman" w:hAnsi="Arial" w:cs="Arial"/>
          <w:color w:val="000000"/>
          <w:kern w:val="0"/>
          <w:sz w:val="18"/>
          <w:szCs w:val="18"/>
          <w:lang w:eastAsia="en-GB"/>
          <w14:ligatures w14:val="none"/>
        </w:rPr>
        <w:t> where you’ll be directed to an external site for more information.</w:t>
      </w:r>
    </w:p>
    <w:p w14:paraId="73C50C37"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69729217"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A requirement of this role is that you provide evidence that your grades are equivalent to English GCSEs. If you studied overseas, you may be required to apply for your grades to be converted and you can do this by visiting: </w:t>
      </w:r>
      <w:hyperlink r:id="rId6" w:history="1">
        <w:r w:rsidRPr="002F356B">
          <w:rPr>
            <w:rFonts w:ascii="Arial" w:eastAsia="Times New Roman" w:hAnsi="Arial" w:cs="Arial"/>
            <w:color w:val="0563C1"/>
            <w:kern w:val="0"/>
            <w:sz w:val="18"/>
            <w:szCs w:val="18"/>
            <w:u w:val="single"/>
            <w:lang w:eastAsia="en-GB"/>
            <w14:ligatures w14:val="none"/>
          </w:rPr>
          <w:t>Home Page (enic.org.uk)</w:t>
        </w:r>
      </w:hyperlink>
      <w:r w:rsidRPr="002F356B">
        <w:rPr>
          <w:rFonts w:ascii="Arial" w:eastAsia="Times New Roman" w:hAnsi="Arial" w:cs="Arial"/>
          <w:color w:val="0563C1"/>
          <w:kern w:val="0"/>
          <w:sz w:val="18"/>
          <w:szCs w:val="18"/>
          <w:lang w:eastAsia="en-GB"/>
          <w14:ligatures w14:val="none"/>
        </w:rPr>
        <w:t> and applying for a statement of comparability.</w:t>
      </w:r>
    </w:p>
    <w:p w14:paraId="6B5B5CC9"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 </w:t>
      </w:r>
    </w:p>
    <w:p w14:paraId="2B038275"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b/>
          <w:bCs/>
          <w:color w:val="000000"/>
          <w:kern w:val="0"/>
          <w:sz w:val="18"/>
          <w:szCs w:val="18"/>
          <w:lang w:eastAsia="en-GB"/>
          <w14:ligatures w14:val="none"/>
        </w:rPr>
        <w:t>We reserve the right to withdraw this advert should we receive lots of applications.</w:t>
      </w:r>
    </w:p>
    <w:p w14:paraId="40B08AA9"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4FC44C29"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b/>
          <w:bCs/>
          <w:color w:val="000000"/>
          <w:kern w:val="0"/>
          <w:sz w:val="18"/>
          <w:szCs w:val="18"/>
          <w:lang w:eastAsia="en-GB"/>
          <w14:ligatures w14:val="none"/>
        </w:rPr>
        <w:t>ABOUT YOU</w:t>
      </w:r>
    </w:p>
    <w:p w14:paraId="38AAA7C6"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05F31978"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Our apprenticeships are suitable for those who meet the following criteria:</w:t>
      </w:r>
    </w:p>
    <w:p w14:paraId="5A24CF75"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5137A48D" w14:textId="77777777" w:rsidR="002F356B" w:rsidRPr="002F356B" w:rsidRDefault="002F356B" w:rsidP="002F356B">
      <w:pPr>
        <w:numPr>
          <w:ilvl w:val="0"/>
          <w:numId w:val="4"/>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GCSE (or equivalent) in Maths &amp; English, minimum grade 4/C</w:t>
      </w:r>
    </w:p>
    <w:p w14:paraId="5EB0A863" w14:textId="77777777" w:rsidR="002F356B" w:rsidRPr="002F356B" w:rsidRDefault="002F356B" w:rsidP="002F356B">
      <w:pPr>
        <w:numPr>
          <w:ilvl w:val="0"/>
          <w:numId w:val="4"/>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Excellent IT skills – Excel, Word, PowerPoint, Microsoft Office</w:t>
      </w:r>
    </w:p>
    <w:p w14:paraId="3A38BEC6" w14:textId="77777777" w:rsidR="002F356B" w:rsidRPr="002F356B" w:rsidRDefault="002F356B" w:rsidP="002F356B">
      <w:pPr>
        <w:numPr>
          <w:ilvl w:val="0"/>
          <w:numId w:val="4"/>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Confidence with numbers – attention to detail and analytical skills</w:t>
      </w:r>
    </w:p>
    <w:p w14:paraId="2DFB7F7B" w14:textId="77777777" w:rsidR="002F356B" w:rsidRPr="002F356B" w:rsidRDefault="002F356B" w:rsidP="002F356B">
      <w:pPr>
        <w:numPr>
          <w:ilvl w:val="0"/>
          <w:numId w:val="4"/>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Strong communication skills both written and verbal</w:t>
      </w:r>
    </w:p>
    <w:p w14:paraId="24566B73" w14:textId="77777777" w:rsidR="002F356B" w:rsidRPr="002F356B" w:rsidRDefault="002F356B" w:rsidP="002F356B">
      <w:pPr>
        <w:numPr>
          <w:ilvl w:val="0"/>
          <w:numId w:val="4"/>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Highly organised with the ability to work with multiple priorities to meet set deadlines</w:t>
      </w:r>
    </w:p>
    <w:p w14:paraId="2264E57C" w14:textId="77777777" w:rsidR="002F356B" w:rsidRPr="002F356B" w:rsidRDefault="002F356B" w:rsidP="002F356B">
      <w:pPr>
        <w:numPr>
          <w:ilvl w:val="0"/>
          <w:numId w:val="4"/>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A proactive problem solver, keen to identify and support process improvements and efficiency</w:t>
      </w:r>
    </w:p>
    <w:p w14:paraId="13C47D32" w14:textId="77777777" w:rsidR="002F356B" w:rsidRPr="002F356B" w:rsidRDefault="002F356B" w:rsidP="002F356B">
      <w:pPr>
        <w:numPr>
          <w:ilvl w:val="0"/>
          <w:numId w:val="4"/>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Proven ability to build and maintain strong relationships</w:t>
      </w:r>
    </w:p>
    <w:p w14:paraId="7403B503" w14:textId="77777777" w:rsidR="002F356B" w:rsidRPr="002F356B" w:rsidRDefault="002F356B" w:rsidP="002F356B">
      <w:pPr>
        <w:numPr>
          <w:ilvl w:val="0"/>
          <w:numId w:val="4"/>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Happy to work both collaboratively as part of a team and autonomously using initiative where required</w:t>
      </w:r>
    </w:p>
    <w:p w14:paraId="4D4429BA" w14:textId="77777777" w:rsidR="002F356B" w:rsidRPr="002F356B" w:rsidRDefault="002F356B" w:rsidP="002F356B">
      <w:pPr>
        <w:numPr>
          <w:ilvl w:val="0"/>
          <w:numId w:val="4"/>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Acts with professionalism</w:t>
      </w:r>
    </w:p>
    <w:p w14:paraId="4B01A54D" w14:textId="77777777" w:rsidR="002F356B" w:rsidRPr="002F356B" w:rsidRDefault="002F356B" w:rsidP="002F356B">
      <w:pPr>
        <w:numPr>
          <w:ilvl w:val="0"/>
          <w:numId w:val="4"/>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Customer focused</w:t>
      </w:r>
    </w:p>
    <w:p w14:paraId="192F67EC" w14:textId="77777777" w:rsidR="002F356B" w:rsidRPr="002F356B" w:rsidRDefault="002F356B" w:rsidP="002F356B">
      <w:pPr>
        <w:numPr>
          <w:ilvl w:val="0"/>
          <w:numId w:val="4"/>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An interest in the travel industry</w:t>
      </w:r>
    </w:p>
    <w:p w14:paraId="4AB28042"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3CEF2E4E"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b/>
          <w:bCs/>
          <w:color w:val="000000"/>
          <w:kern w:val="0"/>
          <w:sz w:val="18"/>
          <w:szCs w:val="18"/>
          <w:lang w:eastAsia="en-GB"/>
          <w14:ligatures w14:val="none"/>
        </w:rPr>
        <w:t>Closing date - Monday 24th June 2024</w:t>
      </w:r>
    </w:p>
    <w:p w14:paraId="3ED0475E"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b/>
          <w:bCs/>
          <w:color w:val="1D2D3E"/>
          <w:kern w:val="0"/>
          <w:sz w:val="18"/>
          <w:szCs w:val="18"/>
          <w:lang w:eastAsia="en-GB"/>
          <w14:ligatures w14:val="none"/>
        </w:rPr>
        <w:t>ABOUT OUR OFFER</w:t>
      </w:r>
    </w:p>
    <w:p w14:paraId="574EC39A"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000000"/>
          <w:kern w:val="0"/>
          <w:sz w:val="18"/>
          <w:szCs w:val="18"/>
          <w:lang w:eastAsia="en-GB"/>
          <w14:ligatures w14:val="none"/>
        </w:rPr>
        <w:t> </w:t>
      </w:r>
    </w:p>
    <w:p w14:paraId="03B2DEB7" w14:textId="77777777" w:rsidR="002F356B" w:rsidRPr="002F356B" w:rsidRDefault="002F356B" w:rsidP="002F356B">
      <w:pPr>
        <w:numPr>
          <w:ilvl w:val="0"/>
          <w:numId w:val="5"/>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1D2D3E"/>
          <w:kern w:val="0"/>
          <w:sz w:val="18"/>
          <w:szCs w:val="18"/>
          <w:lang w:eastAsia="en-GB"/>
          <w14:ligatures w14:val="none"/>
        </w:rPr>
        <w:t>Fantastic holiday benefits including discounts, special offers and the ability to purchase additional ‘TUI time off’ </w:t>
      </w:r>
    </w:p>
    <w:p w14:paraId="0016B7F3" w14:textId="77777777" w:rsidR="002F356B" w:rsidRPr="002F356B" w:rsidRDefault="002F356B" w:rsidP="002F356B">
      <w:pPr>
        <w:numPr>
          <w:ilvl w:val="0"/>
          <w:numId w:val="5"/>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1D2D3E"/>
          <w:kern w:val="0"/>
          <w:sz w:val="18"/>
          <w:szCs w:val="18"/>
          <w:lang w:eastAsia="en-GB"/>
          <w14:ligatures w14:val="none"/>
        </w:rPr>
        <w:t>Competitive salary with commission scheme that rewards you for exceeding targets &amp; discretionary bonus</w:t>
      </w:r>
    </w:p>
    <w:p w14:paraId="029B91DD" w14:textId="77777777" w:rsidR="002F356B" w:rsidRPr="002F356B" w:rsidRDefault="002F356B" w:rsidP="002F356B">
      <w:pPr>
        <w:numPr>
          <w:ilvl w:val="0"/>
          <w:numId w:val="5"/>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1D2D3E"/>
          <w:kern w:val="0"/>
          <w:sz w:val="18"/>
          <w:szCs w:val="18"/>
          <w:lang w:eastAsia="en-GB"/>
          <w14:ligatures w14:val="none"/>
        </w:rPr>
        <w:t>Private medical Insurance, single cover with option to add dependants</w:t>
      </w:r>
    </w:p>
    <w:p w14:paraId="253781B0" w14:textId="77777777" w:rsidR="002F356B" w:rsidRPr="002F356B" w:rsidRDefault="002F356B" w:rsidP="002F356B">
      <w:pPr>
        <w:numPr>
          <w:ilvl w:val="0"/>
          <w:numId w:val="5"/>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1D2D3E"/>
          <w:kern w:val="0"/>
          <w:sz w:val="18"/>
          <w:szCs w:val="18"/>
          <w:lang w:eastAsia="en-GB"/>
          <w14:ligatures w14:val="none"/>
        </w:rPr>
        <w:t>Health and Wellbeing support in five key areas – Financial, Health, Social, Community and Career</w:t>
      </w:r>
    </w:p>
    <w:p w14:paraId="5D76F91F" w14:textId="77777777" w:rsidR="002F356B" w:rsidRPr="002F356B" w:rsidRDefault="002F356B" w:rsidP="002F356B">
      <w:pPr>
        <w:numPr>
          <w:ilvl w:val="0"/>
          <w:numId w:val="5"/>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1D2D3E"/>
          <w:kern w:val="0"/>
          <w:sz w:val="18"/>
          <w:szCs w:val="18"/>
          <w:lang w:eastAsia="en-GB"/>
          <w14:ligatures w14:val="none"/>
        </w:rPr>
        <w:t>Excellent rates with foreign exchange and discounts with retailers</w:t>
      </w:r>
    </w:p>
    <w:p w14:paraId="38400D21" w14:textId="77777777" w:rsidR="002F356B" w:rsidRPr="002F356B" w:rsidRDefault="002F356B" w:rsidP="002F356B">
      <w:pPr>
        <w:numPr>
          <w:ilvl w:val="0"/>
          <w:numId w:val="5"/>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1D2D3E"/>
          <w:kern w:val="0"/>
          <w:sz w:val="18"/>
          <w:szCs w:val="18"/>
          <w:lang w:eastAsia="en-GB"/>
          <w14:ligatures w14:val="none"/>
        </w:rPr>
        <w:t>Discovery day – time to spend working at a local charity or community</w:t>
      </w:r>
    </w:p>
    <w:p w14:paraId="0C446FED" w14:textId="77777777" w:rsidR="002F356B" w:rsidRPr="002F356B" w:rsidRDefault="002F356B" w:rsidP="002F356B">
      <w:pPr>
        <w:numPr>
          <w:ilvl w:val="0"/>
          <w:numId w:val="5"/>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1D2D3E"/>
          <w:kern w:val="0"/>
          <w:sz w:val="18"/>
          <w:szCs w:val="18"/>
          <w:lang w:eastAsia="en-GB"/>
          <w14:ligatures w14:val="none"/>
        </w:rPr>
        <w:t>Investment in your development</w:t>
      </w:r>
    </w:p>
    <w:p w14:paraId="38868EC5" w14:textId="77777777" w:rsidR="002F356B" w:rsidRPr="002F356B" w:rsidRDefault="002F356B" w:rsidP="002F356B">
      <w:pPr>
        <w:numPr>
          <w:ilvl w:val="0"/>
          <w:numId w:val="5"/>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1D2D3E"/>
          <w:kern w:val="0"/>
          <w:sz w:val="18"/>
          <w:szCs w:val="18"/>
          <w:lang w:eastAsia="en-GB"/>
          <w14:ligatures w14:val="none"/>
        </w:rPr>
        <w:t>Pension scheme and life assurance</w:t>
      </w:r>
    </w:p>
    <w:p w14:paraId="1D1FF3D6" w14:textId="77777777" w:rsidR="002F356B" w:rsidRPr="002F356B" w:rsidRDefault="002F356B" w:rsidP="002F356B">
      <w:pPr>
        <w:numPr>
          <w:ilvl w:val="0"/>
          <w:numId w:val="5"/>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1D2D3E"/>
          <w:kern w:val="0"/>
          <w:sz w:val="18"/>
          <w:szCs w:val="18"/>
          <w:lang w:eastAsia="en-GB"/>
          <w14:ligatures w14:val="none"/>
        </w:rPr>
        <w:t>On completion of the apprenticeship programme a voucher (amount dependent on the apprenticeship level) and an extra day off</w:t>
      </w:r>
    </w:p>
    <w:p w14:paraId="6DDA0B2B" w14:textId="77777777" w:rsidR="002F356B" w:rsidRPr="002F356B" w:rsidRDefault="002F356B" w:rsidP="002F356B">
      <w:pPr>
        <w:numPr>
          <w:ilvl w:val="0"/>
          <w:numId w:val="5"/>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1D2D3E"/>
          <w:kern w:val="0"/>
          <w:sz w:val="18"/>
          <w:szCs w:val="18"/>
          <w:lang w:eastAsia="en-GB"/>
          <w14:ligatures w14:val="none"/>
        </w:rPr>
        <w:t xml:space="preserve">Access to student discount via </w:t>
      </w:r>
      <w:proofErr w:type="spellStart"/>
      <w:r w:rsidRPr="002F356B">
        <w:rPr>
          <w:rFonts w:ascii="Arial" w:eastAsia="Times New Roman" w:hAnsi="Arial" w:cs="Arial"/>
          <w:color w:val="1D2D3E"/>
          <w:kern w:val="0"/>
          <w:sz w:val="18"/>
          <w:szCs w:val="18"/>
          <w:lang w:eastAsia="en-GB"/>
          <w14:ligatures w14:val="none"/>
        </w:rPr>
        <w:t>Totum</w:t>
      </w:r>
      <w:proofErr w:type="spellEnd"/>
      <w:r w:rsidRPr="002F356B">
        <w:rPr>
          <w:rFonts w:ascii="Arial" w:eastAsia="Times New Roman" w:hAnsi="Arial" w:cs="Arial"/>
          <w:color w:val="1D2D3E"/>
          <w:kern w:val="0"/>
          <w:sz w:val="18"/>
          <w:szCs w:val="18"/>
          <w:lang w:eastAsia="en-GB"/>
          <w14:ligatures w14:val="none"/>
        </w:rPr>
        <w:t xml:space="preserve"> Apprenticeships</w:t>
      </w:r>
    </w:p>
    <w:p w14:paraId="60EB53D3" w14:textId="77777777" w:rsidR="002F356B" w:rsidRPr="002F356B" w:rsidRDefault="002F356B" w:rsidP="002F356B">
      <w:pPr>
        <w:numPr>
          <w:ilvl w:val="0"/>
          <w:numId w:val="5"/>
        </w:num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1D2D3E"/>
          <w:kern w:val="0"/>
          <w:sz w:val="18"/>
          <w:szCs w:val="18"/>
          <w:lang w:eastAsia="en-GB"/>
          <w14:ligatures w14:val="none"/>
        </w:rPr>
        <w:t>Network of other apprentices and colleagues </w:t>
      </w:r>
    </w:p>
    <w:p w14:paraId="3EFBB260"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58F6D5DB"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1D2D3E"/>
          <w:kern w:val="0"/>
          <w:sz w:val="18"/>
          <w:szCs w:val="18"/>
          <w:lang w:eastAsia="en-GB"/>
          <w14:ligatures w14:val="none"/>
        </w:rPr>
        <w:t xml:space="preserve">At TUI, we know people are as diverse as the destinations we send our customers to. ​We love to see your uniqueness shine through and inspire the future of </w:t>
      </w:r>
      <w:proofErr w:type="gramStart"/>
      <w:r w:rsidRPr="002F356B">
        <w:rPr>
          <w:rFonts w:ascii="Arial" w:eastAsia="Times New Roman" w:hAnsi="Arial" w:cs="Arial"/>
          <w:color w:val="1D2D3E"/>
          <w:kern w:val="0"/>
          <w:sz w:val="18"/>
          <w:szCs w:val="18"/>
          <w:lang w:eastAsia="en-GB"/>
          <w14:ligatures w14:val="none"/>
        </w:rPr>
        <w:t>travel.​</w:t>
      </w:r>
      <w:proofErr w:type="gramEnd"/>
      <w:r w:rsidRPr="002F356B">
        <w:rPr>
          <w:rFonts w:ascii="Arial" w:eastAsia="Times New Roman" w:hAnsi="Arial" w:cs="Arial"/>
          <w:color w:val="1D2D3E"/>
          <w:kern w:val="0"/>
          <w:sz w:val="18"/>
          <w:szCs w:val="18"/>
          <w:lang w:eastAsia="en-GB"/>
          <w14:ligatures w14:val="none"/>
        </w:rPr>
        <w:t>  If you would like to read more about what Diversity &amp; Inclusion means to us simply visit </w:t>
      </w:r>
      <w:hyperlink r:id="rId7" w:history="1">
        <w:r w:rsidRPr="002F356B">
          <w:rPr>
            <w:rFonts w:ascii="Arial" w:eastAsia="Times New Roman" w:hAnsi="Arial" w:cs="Arial"/>
            <w:color w:val="0000FF"/>
            <w:kern w:val="0"/>
            <w:sz w:val="18"/>
            <w:szCs w:val="18"/>
            <w:u w:val="single"/>
            <w:lang w:eastAsia="en-GB"/>
            <w14:ligatures w14:val="none"/>
          </w:rPr>
          <w:t>Diversity • TUI Careers (tuigroup.com)</w:t>
        </w:r>
      </w:hyperlink>
      <w:r w:rsidRPr="002F356B">
        <w:rPr>
          <w:rFonts w:ascii="Arial" w:eastAsia="Times New Roman" w:hAnsi="Arial" w:cs="Arial"/>
          <w:color w:val="000000"/>
          <w:kern w:val="0"/>
          <w:sz w:val="18"/>
          <w:szCs w:val="18"/>
          <w:lang w:eastAsia="en-GB"/>
          <w14:ligatures w14:val="none"/>
        </w:rPr>
        <w:t>.</w:t>
      </w:r>
    </w:p>
    <w:p w14:paraId="10770941"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41AABC29"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Arial" w:eastAsia="Times New Roman" w:hAnsi="Arial" w:cs="Arial"/>
          <w:color w:val="1D2D3E"/>
          <w:kern w:val="0"/>
          <w:sz w:val="18"/>
          <w:szCs w:val="18"/>
          <w:lang w:eastAsia="en-GB"/>
          <w14:ligatures w14:val="none"/>
        </w:rPr>
        <w:t xml:space="preserve">***As a Disability Confident Employer we guarantee interviews to disabled applicants who meet the minimum criteria for the role and will make reasonable adjustments to assist in the interview process. Within the Commercial Function, there is an under-representation of people from ethnic minority groups. Applications are </w:t>
      </w:r>
      <w:r w:rsidRPr="002F356B">
        <w:rPr>
          <w:rFonts w:ascii="Arial" w:eastAsia="Times New Roman" w:hAnsi="Arial" w:cs="Arial"/>
          <w:color w:val="1D2D3E"/>
          <w:kern w:val="0"/>
          <w:sz w:val="18"/>
          <w:szCs w:val="18"/>
          <w:lang w:eastAsia="en-GB"/>
          <w14:ligatures w14:val="none"/>
        </w:rPr>
        <w:lastRenderedPageBreak/>
        <w:t xml:space="preserve">open to all sectors of the community, but we particularly welcome applicants who are from ethnic minority </w:t>
      </w:r>
      <w:proofErr w:type="gramStart"/>
      <w:r w:rsidRPr="002F356B">
        <w:rPr>
          <w:rFonts w:ascii="Arial" w:eastAsia="Times New Roman" w:hAnsi="Arial" w:cs="Arial"/>
          <w:color w:val="1D2D3E"/>
          <w:kern w:val="0"/>
          <w:sz w:val="18"/>
          <w:szCs w:val="18"/>
          <w:lang w:eastAsia="en-GB"/>
          <w14:ligatures w14:val="none"/>
        </w:rPr>
        <w:t>groups.*</w:t>
      </w:r>
      <w:proofErr w:type="gramEnd"/>
      <w:r w:rsidRPr="002F356B">
        <w:rPr>
          <w:rFonts w:ascii="Arial" w:eastAsia="Times New Roman" w:hAnsi="Arial" w:cs="Arial"/>
          <w:color w:val="1D2D3E"/>
          <w:kern w:val="0"/>
          <w:sz w:val="18"/>
          <w:szCs w:val="18"/>
          <w:lang w:eastAsia="en-GB"/>
          <w14:ligatures w14:val="none"/>
        </w:rPr>
        <w:t>**</w:t>
      </w:r>
    </w:p>
    <w:p w14:paraId="4E01378D" w14:textId="77777777" w:rsidR="002F356B" w:rsidRPr="002F356B" w:rsidRDefault="002F356B" w:rsidP="002F356B">
      <w:pPr>
        <w:shd w:val="clear" w:color="auto" w:fill="FFFFFF"/>
        <w:spacing w:after="0" w:line="240" w:lineRule="auto"/>
        <w:rPr>
          <w:rFonts w:ascii="72" w:eastAsia="Times New Roman" w:hAnsi="72" w:cs="72"/>
          <w:color w:val="000000"/>
          <w:kern w:val="0"/>
          <w:sz w:val="24"/>
          <w:szCs w:val="24"/>
          <w:lang w:eastAsia="en-GB"/>
          <w14:ligatures w14:val="none"/>
        </w:rPr>
      </w:pPr>
      <w:r w:rsidRPr="002F356B">
        <w:rPr>
          <w:rFonts w:ascii="72" w:eastAsia="Times New Roman" w:hAnsi="72" w:cs="72"/>
          <w:color w:val="000000"/>
          <w:kern w:val="0"/>
          <w:sz w:val="24"/>
          <w:szCs w:val="24"/>
          <w:lang w:eastAsia="en-GB"/>
          <w14:ligatures w14:val="none"/>
        </w:rPr>
        <w:t> </w:t>
      </w:r>
    </w:p>
    <w:p w14:paraId="0E88EA4B" w14:textId="77777777" w:rsidR="00A402DC" w:rsidRDefault="00A402DC"/>
    <w:sectPr w:rsidR="00A40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72">
    <w:altName w:val="Calibri"/>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60B2"/>
    <w:multiLevelType w:val="multilevel"/>
    <w:tmpl w:val="9336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8014A"/>
    <w:multiLevelType w:val="multilevel"/>
    <w:tmpl w:val="4B92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137D0"/>
    <w:multiLevelType w:val="multilevel"/>
    <w:tmpl w:val="E818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B2C0C"/>
    <w:multiLevelType w:val="multilevel"/>
    <w:tmpl w:val="EB1E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D7902"/>
    <w:multiLevelType w:val="multilevel"/>
    <w:tmpl w:val="3288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6B"/>
    <w:rsid w:val="00017687"/>
    <w:rsid w:val="00262196"/>
    <w:rsid w:val="002F356B"/>
    <w:rsid w:val="00815ADA"/>
    <w:rsid w:val="00A20E7E"/>
    <w:rsid w:val="00A402DC"/>
    <w:rsid w:val="00E91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8B3F"/>
  <w15:chartTrackingRefBased/>
  <w15:docId w15:val="{160C1555-6A51-4224-A715-7265C9F2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56B"/>
    <w:rPr>
      <w:rFonts w:eastAsiaTheme="majorEastAsia" w:cstheme="majorBidi"/>
      <w:color w:val="272727" w:themeColor="text1" w:themeTint="D8"/>
    </w:rPr>
  </w:style>
  <w:style w:type="paragraph" w:styleId="Title">
    <w:name w:val="Title"/>
    <w:basedOn w:val="Normal"/>
    <w:next w:val="Normal"/>
    <w:link w:val="TitleChar"/>
    <w:uiPriority w:val="10"/>
    <w:qFormat/>
    <w:rsid w:val="002F3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56B"/>
    <w:pPr>
      <w:spacing w:before="160"/>
      <w:jc w:val="center"/>
    </w:pPr>
    <w:rPr>
      <w:i/>
      <w:iCs/>
      <w:color w:val="404040" w:themeColor="text1" w:themeTint="BF"/>
    </w:rPr>
  </w:style>
  <w:style w:type="character" w:customStyle="1" w:styleId="QuoteChar">
    <w:name w:val="Quote Char"/>
    <w:basedOn w:val="DefaultParagraphFont"/>
    <w:link w:val="Quote"/>
    <w:uiPriority w:val="29"/>
    <w:rsid w:val="002F356B"/>
    <w:rPr>
      <w:i/>
      <w:iCs/>
      <w:color w:val="404040" w:themeColor="text1" w:themeTint="BF"/>
    </w:rPr>
  </w:style>
  <w:style w:type="paragraph" w:styleId="ListParagraph">
    <w:name w:val="List Paragraph"/>
    <w:basedOn w:val="Normal"/>
    <w:uiPriority w:val="34"/>
    <w:qFormat/>
    <w:rsid w:val="002F356B"/>
    <w:pPr>
      <w:ind w:left="720"/>
      <w:contextualSpacing/>
    </w:pPr>
  </w:style>
  <w:style w:type="character" w:styleId="IntenseEmphasis">
    <w:name w:val="Intense Emphasis"/>
    <w:basedOn w:val="DefaultParagraphFont"/>
    <w:uiPriority w:val="21"/>
    <w:qFormat/>
    <w:rsid w:val="002F356B"/>
    <w:rPr>
      <w:i/>
      <w:iCs/>
      <w:color w:val="0F4761" w:themeColor="accent1" w:themeShade="BF"/>
    </w:rPr>
  </w:style>
  <w:style w:type="paragraph" w:styleId="IntenseQuote">
    <w:name w:val="Intense Quote"/>
    <w:basedOn w:val="Normal"/>
    <w:next w:val="Normal"/>
    <w:link w:val="IntenseQuoteChar"/>
    <w:uiPriority w:val="30"/>
    <w:qFormat/>
    <w:rsid w:val="002F3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56B"/>
    <w:rPr>
      <w:i/>
      <w:iCs/>
      <w:color w:val="0F4761" w:themeColor="accent1" w:themeShade="BF"/>
    </w:rPr>
  </w:style>
  <w:style w:type="character" w:styleId="IntenseReference">
    <w:name w:val="Intense Reference"/>
    <w:basedOn w:val="DefaultParagraphFont"/>
    <w:uiPriority w:val="32"/>
    <w:qFormat/>
    <w:rsid w:val="002F35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91494">
      <w:bodyDiv w:val="1"/>
      <w:marLeft w:val="0"/>
      <w:marRight w:val="0"/>
      <w:marTop w:val="0"/>
      <w:marBottom w:val="0"/>
      <w:divBdr>
        <w:top w:val="none" w:sz="0" w:space="0" w:color="auto"/>
        <w:left w:val="none" w:sz="0" w:space="0" w:color="auto"/>
        <w:bottom w:val="none" w:sz="0" w:space="0" w:color="auto"/>
        <w:right w:val="none" w:sz="0" w:space="0" w:color="auto"/>
      </w:divBdr>
      <w:divsChild>
        <w:div w:id="27586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Berrill, Jessica</dc:creator>
  <cp:keywords/>
  <dc:description/>
  <cp:lastModifiedBy>Claire McNeil</cp:lastModifiedBy>
  <cp:revision>2</cp:revision>
  <dcterms:created xsi:type="dcterms:W3CDTF">2024-06-11T09:39:00Z</dcterms:created>
  <dcterms:modified xsi:type="dcterms:W3CDTF">2024-06-11T09:39:00Z</dcterms:modified>
</cp:coreProperties>
</file>